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Правовые основы риск- менеджмента</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«Правовые основы риск-менеджмента»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«Правовые основы риск-менеджмента».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«Правовые основы риск-менеджмента»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интегрированной системы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национальные и мировые стандарты систем управления рисками, законодательство РФ,  отраслевые стандарты и локальные акты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обрабатывать информацию по рискам и организовывать управление рисками с учетом фирменной и отраслевой специфики и правовых норм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выработки рекомендаций по совершенствованию корпоративной системы управления рисками с учетом международных стандартов и правовых норм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поддержанию устойчивого функционирования  интегрированной системы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национальные и мировые стандарты,  лучшие практики, принципы и методы по обеспечению социальной ответственности,  устойчивого развития организации и социальной ответственности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требования к сохранению коммерческой тайны, нормы профессиональной этики, нормы корпоративной этики, управления и культуры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анализировать локальные нормативные акты по управлению рисками и вырабатывать рекомендации по их актуализации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обеспечения соответствия системы управления рисками внешним требованиям и лучшим мировым практикам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организации и проведения внеплановых проверок готовности организации к чрезвычайным и кризисным ситуациям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70.4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«Правовые основы риск-менеджмента» относится к обязательной части, является дисциплиной Блока Б1. «Дисциплины (модули)». Модуль "Разработка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интеграционной системой управления рисками"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Риск-менеджмент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Инвестиционный риск-менеджмент</w:t>
            </w:r>
          </w:p>
          <w:p>
            <w:pPr>
              <w:jc w:val="center"/>
              <w:spacing w:after="0" w:line="240" w:lineRule="auto"/>
              <w:rPr>
                <w:sz w:val="22"/>
                <w:szCs w:val="22"/>
              </w:rPr>
            </w:pPr>
            <w:r>
              <w:rPr>
                <w:rFonts w:ascii="Times New Roman" w:hAnsi="Times New Roman" w:cs="Times New Roman"/>
                <w:color w:val="#000000"/>
                <w:sz w:val="22"/>
                <w:szCs w:val="22"/>
              </w:rPr>
              <w:t> Концепции и модели риск-менеджмента</w:t>
            </w:r>
          </w:p>
          <w:p>
            <w:pPr>
              <w:jc w:val="center"/>
              <w:spacing w:after="0" w:line="240" w:lineRule="auto"/>
              <w:rPr>
                <w:sz w:val="22"/>
                <w:szCs w:val="22"/>
              </w:rPr>
            </w:pPr>
            <w:r>
              <w:rPr>
                <w:rFonts w:ascii="Times New Roman" w:hAnsi="Times New Roman" w:cs="Times New Roman"/>
                <w:color w:val="#000000"/>
                <w:sz w:val="22"/>
                <w:szCs w:val="22"/>
              </w:rPr>
              <w:t> Международные стандарты управления рисками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концепции управления рисками. Классификация рисков и их влияние на деятельность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Управление рисками в системах нормативного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стандарты 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предпринимательских правоотношений. Регламенты в управлении рисками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Международные стандарты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Правовые основы управления инвестиционными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Правовые аспекты финансового риск- менеджмента в компаниях реального сектора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концепции управления рисками. Классификация рисков и их влияние на деятельность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Управление рисками в системах нормативного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стандарты 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предпринимательских правоотношений. Регламенты в управлении рисками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«Управление рисками в системах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Международные стандарты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Правовые основы управления инвестиционными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Правовые аспекты финансового риск- менеджмента в компаниях реального сектора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317.44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концепции управления рисками. Классификация рисков и их влияние на деятельность компании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 Сущность и содержание управления риском. Вклад различных теоретиков в разработку понятия «риск» (Ф.Найта, П.Самуэльсона, Влека и Сталлена, Дж. Милля и И.У.Сениора, а. Маршала, А.Пичу, Р. Кантильона, И.Тюнена, Й.Шумпетера и др.). Возникновение современной системы риск-менеджмента, как новой философии стратегического управления в бизнесе. Этапы эволюции риск-менеджмента. «Микро риск -менеджмент» и «макро-риск-менеджмент» и их основные различия. Классификация рисков: по характеристике опасности, подверженности риску, уязвимости, взаимодействия с другими рисками, по имеющейся информации о риске, по величине риска, по характеристике расходов, связанных с риском. Специфические классификации рисков. Влияние рисков на деятельность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Управление рисками в системах нормативного регулирования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системы управления рисками стандарты по управлению рисками 31000:2009 Международной организации по стандартизации (ИСО) Установление внешнего и внутреннего контекста, который характеризует «среду, в которой организация стремится к достижению поставленных целей». Управление рисками в области информационной безопасности: стандарта ИСО/МЭК 27001:2005 система управления информационной безопасностью (СУИБ). Отчет о глобальных рисках (GlobalRisksReport, ВЭФ). Инструменты, используемые для идентификации риска: стандарт  ИСО/МЭК31010:2009. Планирование действий в чрезвычайных ситуациях и кризисное управление. Стандарт AS/NZS5050:2010 по управлению рисками, связанными с дестабилизацией («дестабилизация» как эвфемизм «кризиса»).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стандарты и системы управления рисками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процесса управления риском. Функции и принципы системы риск- менеджмента. Научные основы идентификации рисков. Выявление, актуализация, систематизация и анализ рисков. Идентификация источников рисков, оценка и выявление приоритетов риск-факторов фирмы. Состав и последовательность работ по идентификации и ранжированию рисков.</w:t>
            </w:r>
          </w:p>
          <w:p>
            <w:pPr>
              <w:jc w:val="both"/>
              <w:spacing w:after="0" w:line="240" w:lineRule="auto"/>
              <w:rPr>
                <w:sz w:val="24"/>
                <w:szCs w:val="24"/>
              </w:rPr>
            </w:pPr>
            <w:r>
              <w:rPr>
                <w:rFonts w:ascii="Times New Roman" w:hAnsi="Times New Roman" w:cs="Times New Roman"/>
                <w:color w:val="#000000"/>
                <w:sz w:val="24"/>
                <w:szCs w:val="24"/>
              </w:rPr>
              <w:t> Методы диагностики рисков. Источники сбора информации для идентификации рисков. Методы прогнозирования рисков: метод использования аналогов, статистический метод, метод логических построений, математические методы, экспертный метод, натурное моделирование.</w:t>
            </w:r>
          </w:p>
          <w:p>
            <w:pPr>
              <w:jc w:val="both"/>
              <w:spacing w:after="0" w:line="240" w:lineRule="auto"/>
              <w:rPr>
                <w:sz w:val="24"/>
                <w:szCs w:val="24"/>
              </w:rPr>
            </w:pPr>
            <w:r>
              <w:rPr>
                <w:rFonts w:ascii="Times New Roman" w:hAnsi="Times New Roman" w:cs="Times New Roman"/>
                <w:color w:val="#000000"/>
                <w:sz w:val="24"/>
                <w:szCs w:val="24"/>
              </w:rPr>
              <w:t> Стандарты, руководства и рекомендации, разработанные национальными профессиональными объединениями. Стандарты, руководства и рекомендации, разработанные и изданные национальными органами по стандартизации. Процессы стандартизация в области риск-менеджмента на международном уровне.</w:t>
            </w:r>
          </w:p>
          <w:p>
            <w:pPr>
              <w:jc w:val="both"/>
              <w:spacing w:after="0" w:line="240" w:lineRule="auto"/>
              <w:rPr>
                <w:sz w:val="24"/>
                <w:szCs w:val="24"/>
              </w:rPr>
            </w:pPr>
            <w:r>
              <w:rPr>
                <w:rFonts w:ascii="Times New Roman" w:hAnsi="Times New Roman" w:cs="Times New Roman"/>
                <w:color w:val="#000000"/>
                <w:sz w:val="24"/>
                <w:szCs w:val="24"/>
              </w:rPr>
              <w:t> Сравнительный анализ подходов, предложенных AIRMIC/ALARM/IRM Risk Management Standard, 2002 (разработчик The Association of Insurance&amp; Risk Managers); the Australia/New Zealand Standard AS/NZS 4360: 2004; The COSO Enterprise Risk Management - Integrated Framework, 2004 (разработано совместно с PricewaterhouseCoopers).</w:t>
            </w:r>
          </w:p>
          <w:p>
            <w:pPr>
              <w:jc w:val="both"/>
              <w:spacing w:after="0" w:line="240" w:lineRule="auto"/>
              <w:rPr>
                <w:sz w:val="24"/>
                <w:szCs w:val="24"/>
              </w:rPr>
            </w:pPr>
            <w:r>
              <w:rPr>
                <w:rFonts w:ascii="Times New Roman" w:hAnsi="Times New Roman" w:cs="Times New Roman"/>
                <w:color w:val="#000000"/>
                <w:sz w:val="24"/>
                <w:szCs w:val="24"/>
              </w:rPr>
              <w:t> Характеристика национального стандарта ГОСТ «Менеджмент риска. Термины и определения».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предпринимательских правоотношений. Регламенты в управлении рисками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предпринимательских правоотношений. Объекты предпринимательских отношений. Субъекты предпринимательских отношений. Разработка регламента как один из возможных результатов общего процесса управления рисками в систему регулирования. Классификация различных типов регламентов. Нормативное производство для эффективного смягчения рисков. Этапы нормативного производства. Ссылки на стандарты в законодательстве.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Международные стандарты управления рисками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руководства и рекомендации, разработанные национальными профессиональными объединениями. Стандарты, руководства и рекомендации, разработанные и изданные национальными органами по стандартизации. Процессы стандартизация в области риск-менеджмента на международном уровне.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Правовые основы управления инвестиционными рисками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Юридическое и экономическое содержание категории инвестиции. Понятие и виды инвестиций. Объекты инвестиционной деятельности. Правовые формы инвестиционной деятельности. Проблемы отграничения правовых форм инвестиционной деятельности от смежных правовых институтов. Классификация инвестиций. Цели инвестиционного законодательства как основа для различных интерпретаций понятия «инвестиции». Система инвестиционного законодательства России. Общая характеристика правовых форм осуществления инвестиционной деятельности. Понятие инвестиционного договора. Признаки инвестиционного договора. Общая характеристика правовых форм осуществления инвестиционной деятельности. Виды инвестиционных договоров. Отдельные правовые формы осуществления инвестиционной деятельности. Заключение и исполнение соглашений о разделе продукции. Стороны соглашения, органы управления, изменение и прекращение соглашений о разделе продукции. Порядок заключения концессионных соглашений, права и обязанности концессионера и концедента.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Правовые аспекты финансового риск-менеджмента в компаниях реального сектора экономики</w:t>
            </w:r>
          </w:p>
        </w:tc>
      </w:tr>
      <w:tr>
        <w:trPr>
          <w:trHeight w:hRule="exact" w:val="1924.0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аспект страхования финансовых рисков. Производные финансовые инструменты на основе контрактов, их разновидности. Предприятия реального сектора экономики РФ на рынке производных инструментов: цели и задачи операций с деривативами. Хеджирование финансовых рисков при помощи форвардных, фьючерсных контрактов и опционных контрактов. Использование теории опционов для оценки рисковых инвестиций. Анализ рисков, связанных с использованием производных финансовых инструментов. Использование опционных контрактов с целью снижения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рисков.</w:t>
            </w:r>
          </w:p>
          <w:p>
            <w:pPr>
              <w:jc w:val="both"/>
              <w:spacing w:after="0" w:line="240" w:lineRule="auto"/>
              <w:rPr>
                <w:sz w:val="24"/>
                <w:szCs w:val="24"/>
              </w:rPr>
            </w:pPr>
            <w:r>
              <w:rPr>
                <w:rFonts w:ascii="Times New Roman" w:hAnsi="Times New Roman" w:cs="Times New Roman"/>
                <w:color w:val="#000000"/>
                <w:sz w:val="24"/>
                <w:szCs w:val="24"/>
              </w:rPr>
              <w:t> Нормативные правовые акты, регулирующие осуществление кредитных операций и обеспечение кредитных обязательств. Нормативные правовые акты, регулирующие осуществление кредитных операций и обеспечение кредитных обязательств. Законодательные акты, международные стандарты управления рисками, внутренние регламенты компаний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концепции управления рисками. Классификация рисков и их влияние на деятельность компании</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Процесс разработки понятия «риск».</w:t>
            </w:r>
          </w:p>
          <w:p>
            <w:pPr>
              <w:jc w:val="left"/>
              <w:spacing w:after="0" w:line="240" w:lineRule="auto"/>
              <w:rPr>
                <w:sz w:val="24"/>
                <w:szCs w:val="24"/>
              </w:rPr>
            </w:pPr>
            <w:r>
              <w:rPr>
                <w:rFonts w:ascii="Times New Roman" w:hAnsi="Times New Roman" w:cs="Times New Roman"/>
                <w:color w:val="#000000"/>
                <w:sz w:val="24"/>
                <w:szCs w:val="24"/>
              </w:rPr>
              <w:t> 2.	Причины возникновение современной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3.	Последствия возникновение современной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4.	Эволюции риск-менеджмента, краткая характеристика этапов.</w:t>
            </w:r>
          </w:p>
          <w:p>
            <w:pPr>
              <w:jc w:val="left"/>
              <w:spacing w:after="0" w:line="240" w:lineRule="auto"/>
              <w:rPr>
                <w:sz w:val="24"/>
                <w:szCs w:val="24"/>
              </w:rPr>
            </w:pPr>
            <w:r>
              <w:rPr>
                <w:rFonts w:ascii="Times New Roman" w:hAnsi="Times New Roman" w:cs="Times New Roman"/>
                <w:color w:val="#000000"/>
                <w:sz w:val="24"/>
                <w:szCs w:val="24"/>
              </w:rPr>
              <w:t> 5.	«Микро риск-менеджмент».</w:t>
            </w:r>
          </w:p>
          <w:p>
            <w:pPr>
              <w:jc w:val="left"/>
              <w:spacing w:after="0" w:line="240" w:lineRule="auto"/>
              <w:rPr>
                <w:sz w:val="24"/>
                <w:szCs w:val="24"/>
              </w:rPr>
            </w:pPr>
            <w:r>
              <w:rPr>
                <w:rFonts w:ascii="Times New Roman" w:hAnsi="Times New Roman" w:cs="Times New Roman"/>
                <w:color w:val="#000000"/>
                <w:sz w:val="24"/>
                <w:szCs w:val="24"/>
              </w:rPr>
              <w:t> 6.	«Макро-риск-менеджмент».</w:t>
            </w:r>
          </w:p>
          <w:p>
            <w:pPr>
              <w:jc w:val="left"/>
              <w:spacing w:after="0" w:line="240" w:lineRule="auto"/>
              <w:rPr>
                <w:sz w:val="24"/>
                <w:szCs w:val="24"/>
              </w:rPr>
            </w:pPr>
            <w:r>
              <w:rPr>
                <w:rFonts w:ascii="Times New Roman" w:hAnsi="Times New Roman" w:cs="Times New Roman"/>
                <w:color w:val="#000000"/>
                <w:sz w:val="24"/>
                <w:szCs w:val="24"/>
              </w:rPr>
              <w:t> 7.	Основные различия «микро риск-менеджмента» и «макро-риск-менеджмента».</w:t>
            </w:r>
          </w:p>
          <w:p>
            <w:pPr>
              <w:jc w:val="left"/>
              <w:spacing w:after="0" w:line="240" w:lineRule="auto"/>
              <w:rPr>
                <w:sz w:val="24"/>
                <w:szCs w:val="24"/>
              </w:rPr>
            </w:pPr>
            <w:r>
              <w:rPr>
                <w:rFonts w:ascii="Times New Roman" w:hAnsi="Times New Roman" w:cs="Times New Roman"/>
                <w:color w:val="#000000"/>
                <w:sz w:val="24"/>
                <w:szCs w:val="24"/>
              </w:rPr>
              <w:t> 8.	Классификация рисков по различным критериям.</w:t>
            </w:r>
          </w:p>
          <w:p>
            <w:pPr>
              <w:jc w:val="left"/>
              <w:spacing w:after="0" w:line="240" w:lineRule="auto"/>
              <w:rPr>
                <w:sz w:val="24"/>
                <w:szCs w:val="24"/>
              </w:rPr>
            </w:pPr>
            <w:r>
              <w:rPr>
                <w:rFonts w:ascii="Times New Roman" w:hAnsi="Times New Roman" w:cs="Times New Roman"/>
                <w:color w:val="#000000"/>
                <w:sz w:val="24"/>
                <w:szCs w:val="24"/>
              </w:rPr>
              <w:t> 9.	Влияние рисков на деятельность компании.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Управление рисками в системах нормативного регулирования</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Риски бизнеса в реальном секторе экономики. Понятие управления рисками: стандарт 31000:2009 Международной организации по стандартизации (ИСО)</w:t>
            </w:r>
          </w:p>
          <w:p>
            <w:pPr>
              <w:jc w:val="left"/>
              <w:spacing w:after="0" w:line="240" w:lineRule="auto"/>
              <w:rPr>
                <w:sz w:val="24"/>
                <w:szCs w:val="24"/>
              </w:rPr>
            </w:pPr>
            <w:r>
              <w:rPr>
                <w:rFonts w:ascii="Times New Roman" w:hAnsi="Times New Roman" w:cs="Times New Roman"/>
                <w:color w:val="#000000"/>
                <w:sz w:val="24"/>
                <w:szCs w:val="24"/>
              </w:rPr>
              <w:t> 2. Основные разновидности факторов риска. Внешние факторы риска. Внутренние факторы риска</w:t>
            </w:r>
          </w:p>
          <w:p>
            <w:pPr>
              <w:jc w:val="left"/>
              <w:spacing w:after="0" w:line="240" w:lineRule="auto"/>
              <w:rPr>
                <w:sz w:val="24"/>
                <w:szCs w:val="24"/>
              </w:rPr>
            </w:pPr>
            <w:r>
              <w:rPr>
                <w:rFonts w:ascii="Times New Roman" w:hAnsi="Times New Roman" w:cs="Times New Roman"/>
                <w:color w:val="#000000"/>
                <w:sz w:val="24"/>
                <w:szCs w:val="24"/>
              </w:rPr>
              <w:t> 3 Особенности современной экономики и их влияние на стратегии развития бизнеса: стандарт по управлению рисками ИСО31000:2009</w:t>
            </w:r>
          </w:p>
          <w:p>
            <w:pPr>
              <w:jc w:val="left"/>
              <w:spacing w:after="0" w:line="240" w:lineRule="auto"/>
              <w:rPr>
                <w:sz w:val="24"/>
                <w:szCs w:val="24"/>
              </w:rPr>
            </w:pPr>
            <w:r>
              <w:rPr>
                <w:rFonts w:ascii="Times New Roman" w:hAnsi="Times New Roman" w:cs="Times New Roman"/>
                <w:color w:val="#000000"/>
                <w:sz w:val="24"/>
                <w:szCs w:val="24"/>
              </w:rPr>
              <w:t> 4. Управление рисками в области информационной безопасности: стандарта ИСО/МЭК 27001:2005 система управления информационной безопасностью (СУИБ)</w:t>
            </w:r>
          </w:p>
          <w:p>
            <w:pPr>
              <w:jc w:val="left"/>
              <w:spacing w:after="0" w:line="240" w:lineRule="auto"/>
              <w:rPr>
                <w:sz w:val="24"/>
                <w:szCs w:val="24"/>
              </w:rPr>
            </w:pPr>
            <w:r>
              <w:rPr>
                <w:rFonts w:ascii="Times New Roman" w:hAnsi="Times New Roman" w:cs="Times New Roman"/>
                <w:color w:val="#000000"/>
                <w:sz w:val="24"/>
                <w:szCs w:val="24"/>
              </w:rPr>
              <w:t> 5. Инструменты, используемые для идентификации риска и реализации других стадий процесса: стандарт  ИСО/МЭК31010:2009</w:t>
            </w:r>
          </w:p>
          <w:p>
            <w:pPr>
              <w:jc w:val="left"/>
              <w:spacing w:after="0" w:line="240" w:lineRule="auto"/>
              <w:rPr>
                <w:sz w:val="24"/>
                <w:szCs w:val="24"/>
              </w:rPr>
            </w:pPr>
            <w:r>
              <w:rPr>
                <w:rFonts w:ascii="Times New Roman" w:hAnsi="Times New Roman" w:cs="Times New Roman"/>
                <w:color w:val="#000000"/>
                <w:sz w:val="24"/>
                <w:szCs w:val="24"/>
              </w:rPr>
              <w:t> 6. Планирование действий в чрезвычайных ситуациях и кризисное управление. Стандарт AS/NZS5050:2010 по управлению рисками, связанными с дестабилизацией («дестабилизация» как эвфемизм «кризиса»)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стандарты и системы управления рисками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2.	Функции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3.	Принципы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4.	Национальные стандарты и системы управления рисками.</w:t>
            </w:r>
          </w:p>
          <w:p>
            <w:pPr>
              <w:jc w:val="left"/>
              <w:spacing w:after="0" w:line="240" w:lineRule="auto"/>
              <w:rPr>
                <w:sz w:val="24"/>
                <w:szCs w:val="24"/>
              </w:rPr>
            </w:pPr>
            <w:r>
              <w:rPr>
                <w:rFonts w:ascii="Times New Roman" w:hAnsi="Times New Roman" w:cs="Times New Roman"/>
                <w:color w:val="#000000"/>
                <w:sz w:val="24"/>
                <w:szCs w:val="24"/>
              </w:rPr>
              <w:t> 5.	ГОСТ «Менеджмент риска. Термины и определения».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предпринимательских правоотношений. Регламенты в управлении рисками организации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Содержание предпринимательских правоотношений. Объекты предпринимательских отношений. Субъекты предпринимательских отношений</w:t>
            </w:r>
          </w:p>
          <w:p>
            <w:pPr>
              <w:jc w:val="left"/>
              <w:spacing w:after="0" w:line="240" w:lineRule="auto"/>
              <w:rPr>
                <w:sz w:val="24"/>
                <w:szCs w:val="24"/>
              </w:rPr>
            </w:pPr>
            <w:r>
              <w:rPr>
                <w:rFonts w:ascii="Times New Roman" w:hAnsi="Times New Roman" w:cs="Times New Roman"/>
                <w:color w:val="#000000"/>
                <w:sz w:val="24"/>
                <w:szCs w:val="24"/>
              </w:rPr>
              <w:t> 2. Нормативное регулирование как инструмент смягчения риска.</w:t>
            </w:r>
          </w:p>
          <w:p>
            <w:pPr>
              <w:jc w:val="left"/>
              <w:spacing w:after="0" w:line="240" w:lineRule="auto"/>
              <w:rPr>
                <w:sz w:val="24"/>
                <w:szCs w:val="24"/>
              </w:rPr>
            </w:pPr>
            <w:r>
              <w:rPr>
                <w:rFonts w:ascii="Times New Roman" w:hAnsi="Times New Roman" w:cs="Times New Roman"/>
                <w:color w:val="#000000"/>
                <w:sz w:val="24"/>
                <w:szCs w:val="24"/>
              </w:rPr>
              <w:t> 3. Типы регламентов, используемые для смягчения рисков</w:t>
            </w:r>
          </w:p>
          <w:p>
            <w:pPr>
              <w:jc w:val="left"/>
              <w:spacing w:after="0" w:line="240" w:lineRule="auto"/>
              <w:rPr>
                <w:sz w:val="24"/>
                <w:szCs w:val="24"/>
              </w:rPr>
            </w:pPr>
            <w:r>
              <w:rPr>
                <w:rFonts w:ascii="Times New Roman" w:hAnsi="Times New Roman" w:cs="Times New Roman"/>
                <w:color w:val="#000000"/>
                <w:sz w:val="24"/>
                <w:szCs w:val="24"/>
              </w:rPr>
              <w:t> 4. Исходные данные в системе нормативного регулирования.</w:t>
            </w:r>
          </w:p>
          <w:p>
            <w:pPr>
              <w:jc w:val="left"/>
              <w:spacing w:after="0" w:line="240" w:lineRule="auto"/>
              <w:rPr>
                <w:sz w:val="24"/>
                <w:szCs w:val="24"/>
              </w:rPr>
            </w:pPr>
            <w:r>
              <w:rPr>
                <w:rFonts w:ascii="Times New Roman" w:hAnsi="Times New Roman" w:cs="Times New Roman"/>
                <w:color w:val="#000000"/>
                <w:sz w:val="24"/>
                <w:szCs w:val="24"/>
              </w:rPr>
              <w:t> 5. Рекомендация ЕЭК ООН по управлению рисками в системах регулирования (Рекомендация R)</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«Управление рисками в системах регулирования»</w:t>
            </w:r>
          </w:p>
        </w:tc>
      </w:tr>
      <w:tr>
        <w:trPr>
          <w:trHeight w:hRule="exact" w:val="21.31518"/>
        </w:trPr>
        <w:tc>
          <w:tcPr>
            <w:tcW w:w="9640" w:type="dxa"/>
          </w:tcPr>
          <w:p/>
        </w:tc>
      </w:tr>
      <w:tr>
        <w:trPr>
          <w:trHeight w:hRule="exact" w:val="1434.2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Модель, основанная на Рекомендации RЕЭК ООН «Управление рисками в системах регулирования»</w:t>
            </w:r>
          </w:p>
          <w:p>
            <w:pPr>
              <w:jc w:val="left"/>
              <w:spacing w:after="0" w:line="240" w:lineRule="auto"/>
              <w:rPr>
                <w:sz w:val="24"/>
                <w:szCs w:val="24"/>
              </w:rPr>
            </w:pPr>
            <w:r>
              <w:rPr>
                <w:rFonts w:ascii="Times New Roman" w:hAnsi="Times New Roman" w:cs="Times New Roman"/>
                <w:color w:val="#000000"/>
                <w:sz w:val="24"/>
                <w:szCs w:val="24"/>
              </w:rPr>
              <w:t> 2.	Стратегии допущение риска, избегание риска, передачи риска, смягчения риска.</w:t>
            </w:r>
          </w:p>
          <w:p>
            <w:pPr>
              <w:jc w:val="left"/>
              <w:spacing w:after="0" w:line="240" w:lineRule="auto"/>
              <w:rPr>
                <w:sz w:val="24"/>
                <w:szCs w:val="24"/>
              </w:rPr>
            </w:pPr>
            <w:r>
              <w:rPr>
                <w:rFonts w:ascii="Times New Roman" w:hAnsi="Times New Roman" w:cs="Times New Roman"/>
                <w:color w:val="#000000"/>
                <w:sz w:val="24"/>
                <w:szCs w:val="24"/>
              </w:rPr>
              <w:t> 3.	Нормативное регулирование как инструмент смягчения риска</w:t>
            </w:r>
          </w:p>
          <w:p>
            <w:pPr>
              <w:jc w:val="left"/>
              <w:spacing w:after="0" w:line="240" w:lineRule="auto"/>
              <w:rPr>
                <w:sz w:val="24"/>
                <w:szCs w:val="24"/>
              </w:rPr>
            </w:pPr>
            <w:r>
              <w:rPr>
                <w:rFonts w:ascii="Times New Roman" w:hAnsi="Times New Roman" w:cs="Times New Roman"/>
                <w:color w:val="#000000"/>
                <w:sz w:val="24"/>
                <w:szCs w:val="24"/>
              </w:rPr>
              <w:t> 4.	Управление рисками в рамках РГ.6 ЕЭК ООН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Оценка эффективности управления рисками в системах регулирования</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Международные стандарты управления рисками</w:t>
            </w:r>
          </w:p>
        </w:tc>
      </w:tr>
      <w:tr>
        <w:trPr>
          <w:trHeight w:hRule="exact" w:val="21.31501"/>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Международные стандарты и системы управления рисками.</w:t>
            </w:r>
          </w:p>
          <w:p>
            <w:pPr>
              <w:jc w:val="left"/>
              <w:spacing w:after="0" w:line="240" w:lineRule="auto"/>
              <w:rPr>
                <w:sz w:val="24"/>
                <w:szCs w:val="24"/>
              </w:rPr>
            </w:pPr>
            <w:r>
              <w:rPr>
                <w:rFonts w:ascii="Times New Roman" w:hAnsi="Times New Roman" w:cs="Times New Roman"/>
                <w:color w:val="#000000"/>
                <w:sz w:val="24"/>
                <w:szCs w:val="24"/>
              </w:rPr>
              <w:t> 2.	AIRMIC/ALARM/IRM Risk Management Standard, 2002.</w:t>
            </w:r>
          </w:p>
          <w:p>
            <w:pPr>
              <w:jc w:val="left"/>
              <w:spacing w:after="0" w:line="240" w:lineRule="auto"/>
              <w:rPr>
                <w:sz w:val="24"/>
                <w:szCs w:val="24"/>
              </w:rPr>
            </w:pPr>
            <w:r>
              <w:rPr>
                <w:rFonts w:ascii="Times New Roman" w:hAnsi="Times New Roman" w:cs="Times New Roman"/>
                <w:color w:val="#000000"/>
                <w:sz w:val="24"/>
                <w:szCs w:val="24"/>
              </w:rPr>
              <w:t> 3.	The Australia/New Zealand Standard AS/NZS 4360: 2004</w:t>
            </w:r>
          </w:p>
          <w:p>
            <w:pPr>
              <w:jc w:val="left"/>
              <w:spacing w:after="0" w:line="240" w:lineRule="auto"/>
              <w:rPr>
                <w:sz w:val="24"/>
                <w:szCs w:val="24"/>
              </w:rPr>
            </w:pPr>
            <w:r>
              <w:rPr>
                <w:rFonts w:ascii="Times New Roman" w:hAnsi="Times New Roman" w:cs="Times New Roman"/>
                <w:color w:val="#000000"/>
                <w:sz w:val="24"/>
                <w:szCs w:val="24"/>
              </w:rPr>
              <w:t> 4.	The COSO Enterprise Risk Management-Integrated Framework, 2004.</w:t>
            </w:r>
          </w:p>
          <w:p>
            <w:pPr>
              <w:jc w:val="left"/>
              <w:spacing w:after="0" w:line="240" w:lineRule="auto"/>
              <w:rPr>
                <w:sz w:val="24"/>
                <w:szCs w:val="24"/>
              </w:rPr>
            </w:pPr>
            <w:r>
              <w:rPr>
                <w:rFonts w:ascii="Times New Roman" w:hAnsi="Times New Roman" w:cs="Times New Roman"/>
                <w:color w:val="#000000"/>
                <w:sz w:val="24"/>
                <w:szCs w:val="24"/>
              </w:rPr>
              <w:t> 5.	Стандарт IEC 31010:2019 Управление рисками – методы оценки рисков (Risk management – Risk assessment techniques)</w:t>
            </w:r>
          </w:p>
          <w:p>
            <w:pPr>
              <w:jc w:val="left"/>
              <w:spacing w:after="0" w:line="240" w:lineRule="auto"/>
              <w:rPr>
                <w:sz w:val="24"/>
                <w:szCs w:val="24"/>
              </w:rPr>
            </w:pPr>
            <w:r>
              <w:rPr>
                <w:rFonts w:ascii="Times New Roman" w:hAnsi="Times New Roman" w:cs="Times New Roman"/>
                <w:color w:val="#000000"/>
                <w:sz w:val="24"/>
                <w:szCs w:val="24"/>
              </w:rPr>
              <w:t> 6.	Стандарт ISO 31000:2018 Управление рисками – Рекомендации (Risk management – Guidelines)</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Правовые основы управления инвестиционными рисками</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Правовые формы инвестиционной деятельности.</w:t>
            </w:r>
          </w:p>
          <w:p>
            <w:pPr>
              <w:jc w:val="left"/>
              <w:spacing w:after="0" w:line="240" w:lineRule="auto"/>
              <w:rPr>
                <w:sz w:val="24"/>
                <w:szCs w:val="24"/>
              </w:rPr>
            </w:pPr>
            <w:r>
              <w:rPr>
                <w:rFonts w:ascii="Times New Roman" w:hAnsi="Times New Roman" w:cs="Times New Roman"/>
                <w:color w:val="#000000"/>
                <w:sz w:val="24"/>
                <w:szCs w:val="24"/>
              </w:rPr>
              <w:t> 2.	Управление рисками инвестиционного портфеля</w:t>
            </w:r>
          </w:p>
          <w:p>
            <w:pPr>
              <w:jc w:val="left"/>
              <w:spacing w:after="0" w:line="240" w:lineRule="auto"/>
              <w:rPr>
                <w:sz w:val="24"/>
                <w:szCs w:val="24"/>
              </w:rPr>
            </w:pPr>
            <w:r>
              <w:rPr>
                <w:rFonts w:ascii="Times New Roman" w:hAnsi="Times New Roman" w:cs="Times New Roman"/>
                <w:color w:val="#000000"/>
                <w:sz w:val="24"/>
                <w:szCs w:val="24"/>
              </w:rPr>
              <w:t> 3.	Управление финансовыми рисками инвестиционных проектов в форме капитальных вложений</w:t>
            </w:r>
          </w:p>
          <w:p>
            <w:pPr>
              <w:jc w:val="left"/>
              <w:spacing w:after="0" w:line="240" w:lineRule="auto"/>
              <w:rPr>
                <w:sz w:val="24"/>
                <w:szCs w:val="24"/>
              </w:rPr>
            </w:pPr>
            <w:r>
              <w:rPr>
                <w:rFonts w:ascii="Times New Roman" w:hAnsi="Times New Roman" w:cs="Times New Roman"/>
                <w:color w:val="#000000"/>
                <w:sz w:val="24"/>
                <w:szCs w:val="24"/>
              </w:rPr>
              <w:t> 4.	Система инвестиционного законодательства России</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правовых форм осуществления инвестиционной деятельности. Понятие инвестиционного договора.</w:t>
            </w:r>
          </w:p>
          <w:p>
            <w:pPr>
              <w:jc w:val="left"/>
              <w:spacing w:after="0" w:line="240" w:lineRule="auto"/>
              <w:rPr>
                <w:sz w:val="24"/>
                <w:szCs w:val="24"/>
              </w:rPr>
            </w:pPr>
            <w:r>
              <w:rPr>
                <w:rFonts w:ascii="Times New Roman" w:hAnsi="Times New Roman" w:cs="Times New Roman"/>
                <w:color w:val="#000000"/>
                <w:sz w:val="24"/>
                <w:szCs w:val="24"/>
              </w:rPr>
              <w:t> 6.	Правовое обеспечение деятельности по управлению рисками в РФ</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Правовые аспекты финансового риск-менеджмента в компаниях реального сектора экономики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Построение системы управления финансовыми рисками на предприятии</w:t>
            </w:r>
          </w:p>
          <w:p>
            <w:pPr>
              <w:jc w:val="left"/>
              <w:spacing w:after="0" w:line="240" w:lineRule="auto"/>
              <w:rPr>
                <w:sz w:val="24"/>
                <w:szCs w:val="24"/>
              </w:rPr>
            </w:pPr>
            <w:r>
              <w:rPr>
                <w:rFonts w:ascii="Times New Roman" w:hAnsi="Times New Roman" w:cs="Times New Roman"/>
                <w:color w:val="#000000"/>
                <w:sz w:val="24"/>
                <w:szCs w:val="24"/>
              </w:rPr>
              <w:t> 2.	Управление кредитными и рыночными рисками предприятия: Гражданское законодательство Российской Федерации об ответственности за неисполнение условий договора. Типовые причины неисполнения условий кредитного договора и способы погашения просроченной задолженности</w:t>
            </w:r>
          </w:p>
          <w:p>
            <w:pPr>
              <w:jc w:val="left"/>
              <w:spacing w:after="0" w:line="240" w:lineRule="auto"/>
              <w:rPr>
                <w:sz w:val="24"/>
                <w:szCs w:val="24"/>
              </w:rPr>
            </w:pPr>
            <w:r>
              <w:rPr>
                <w:rFonts w:ascii="Times New Roman" w:hAnsi="Times New Roman" w:cs="Times New Roman"/>
                <w:color w:val="#000000"/>
                <w:sz w:val="24"/>
                <w:szCs w:val="24"/>
              </w:rPr>
              <w:t> 3.	Диверсификация, страхование, хеджирование финансовых рисков.</w:t>
            </w:r>
          </w:p>
          <w:p>
            <w:pPr>
              <w:jc w:val="left"/>
              <w:spacing w:after="0" w:line="240" w:lineRule="auto"/>
              <w:rPr>
                <w:sz w:val="24"/>
                <w:szCs w:val="24"/>
              </w:rPr>
            </w:pPr>
            <w:r>
              <w:rPr>
                <w:rFonts w:ascii="Times New Roman" w:hAnsi="Times New Roman" w:cs="Times New Roman"/>
                <w:color w:val="#000000"/>
                <w:sz w:val="24"/>
                <w:szCs w:val="24"/>
              </w:rPr>
              <w:t> 4.	Лимитирование, риск-аппетит и другие инструменты управления финансовыми рисками</w:t>
            </w:r>
          </w:p>
          <w:p>
            <w:pPr>
              <w:jc w:val="left"/>
              <w:spacing w:after="0" w:line="240" w:lineRule="auto"/>
              <w:rPr>
                <w:sz w:val="24"/>
                <w:szCs w:val="24"/>
              </w:rPr>
            </w:pPr>
            <w:r>
              <w:rPr>
                <w:rFonts w:ascii="Times New Roman" w:hAnsi="Times New Roman" w:cs="Times New Roman"/>
                <w:color w:val="#000000"/>
                <w:sz w:val="24"/>
                <w:szCs w:val="24"/>
              </w:rPr>
              <w:t> 5.	Секьюритизация и кредитные деривативы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«Правовые основы риск-менеджмента»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https://urait.ru/bcode/469020</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финансовыми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Саввина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Асяева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Перепелица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Трифонов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Злизина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Южакова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Алеканов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Кузенкова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Пещанская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https://urait.ru/bcode/458713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рисков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https://urait.ru/bcode/489580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предпринимательской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Морозов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https://urait.ru/bcode/472901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Инвестиционное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Лаптева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Скворцов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https://urait.ru/bcode/475231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577.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80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2023-2024_ФГОС3++2023_Маг-ОФО-Э(КУРиС)(23)_plx_Правовые основы риск-менеджмента</dc:title>
  <dc:creator>FastReport.NET</dc:creator>
</cp:coreProperties>
</file>